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HARARI ELIYAHOU ET 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CHARCOT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CapsoVision,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81,300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6.09</w:t>
            </w:r>
            <w:r>
              <w:rPr/>
              <w:t xml:space="preserve"> 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3,282,051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are held by the Harari Family Trust, for which the Reporting Person, together with his wife, are trustees.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Bergman, Attorney-in-Fact for Eliyahou Harari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09165" TargetMode="External"/><Relationship Id="rId5" Type="http://schemas.openxmlformats.org/officeDocument/2006/relationships/hyperlink" Target="http://www.sec.gov/cgi-bin/browse-edgar?action=getcompany&amp;CIK=00013783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3154</Characters>
  <CharactersWithSpaces>3677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